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D1" w:rsidRDefault="005E31EE" w:rsidP="00E73AD1">
      <w:pPr>
        <w:spacing w:after="450" w:line="240" w:lineRule="auto"/>
        <w:jc w:val="center"/>
        <w:textAlignment w:val="baseline"/>
        <w:outlineLvl w:val="0"/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</w:pPr>
      <w:r w:rsidRPr="005E31EE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>Гражданская оборона</w:t>
      </w:r>
      <w:r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 xml:space="preserve"> как система общегосударственных мер по защите населения. </w:t>
      </w:r>
      <w:r w:rsidR="0012546D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 xml:space="preserve">Единая государственная </w:t>
      </w:r>
      <w:r w:rsidR="00D8305F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>система предупреждения и ликвидации чрезвы</w:t>
      </w:r>
      <w:r w:rsidR="00E73AD1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>ч</w:t>
      </w:r>
      <w:r w:rsidR="00D8305F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>айных ситуаций и ее основные задачи.</w:t>
      </w:r>
    </w:p>
    <w:p w:rsidR="005E31EE" w:rsidRPr="005E31EE" w:rsidRDefault="005E31EE" w:rsidP="00D8305F">
      <w:pPr>
        <w:spacing w:after="450" w:line="240" w:lineRule="auto"/>
        <w:textAlignment w:val="baseline"/>
        <w:outlineLvl w:val="0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Гражданская оборона это: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Основные понятия: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мероприятия по гражданской обороне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территория, отнесенная к группе по гражданской обороне,</w:t>
      </w: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 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требования в области гражданской обороны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нештатные формирования по обеспечению выполнения мероприятий по гражданской обороне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управление гражданской обороной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lastRenderedPageBreak/>
        <w:t>система управления гражданской обороной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организации, отнесенные в установленном порядке к категориям по гражданской обороне,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b/>
          <w:bCs/>
          <w:i/>
          <w:iCs/>
          <w:color w:val="3B4256"/>
          <w:sz w:val="26"/>
        </w:rPr>
        <w:t>подготовка населения в области гражданской обороны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E73AD1" w:rsidRPr="005E31EE" w:rsidRDefault="00E73AD1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</w:p>
    <w:p w:rsidR="005E31EE" w:rsidRPr="005E31EE" w:rsidRDefault="005E31EE" w:rsidP="00E73AD1">
      <w:pPr>
        <w:spacing w:after="450" w:line="240" w:lineRule="auto"/>
        <w:jc w:val="both"/>
        <w:textAlignment w:val="baseline"/>
        <w:outlineLvl w:val="0"/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</w:pPr>
      <w:r w:rsidRPr="005E31EE">
        <w:rPr>
          <w:rFonts w:ascii="Liberation Serif" w:eastAsia="Times New Roman" w:hAnsi="Liberation Serif" w:cs="Liberation Serif"/>
          <w:b/>
          <w:bCs/>
          <w:color w:val="3B4256"/>
          <w:kern w:val="36"/>
          <w:sz w:val="48"/>
          <w:szCs w:val="48"/>
        </w:rPr>
        <w:t>Задачи гражданской обороны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подготовка населения в области гражданской обороны;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эвакуация населения, материальных и культурных ценностей в безопасные районы;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предоставление населению средств индивидуальной и коллективной защиты;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проведение мероприятий по световой маскировке и другим видам маскировки;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борьба с пожарами, возникшими при военных конфликтах или вследствие этих конфликтов;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lastRenderedPageBreak/>
        <w:t>обнаружение и обозначение районов, подвергшихся радиоактивному, химическому, биологическому или иному заражению;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срочное восстановление функционирования необходимых коммунальных служб в военное время;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срочное захоронение трупов в военное время;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обеспечение постоянной готовности сил и сре</w:t>
      </w:r>
      <w:proofErr w:type="gram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дств гр</w:t>
      </w:r>
      <w:proofErr w:type="gram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ажданской обороны.</w:t>
      </w:r>
    </w:p>
    <w:p w:rsid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b/>
          <w:bCs/>
          <w:color w:val="3B4256"/>
          <w:sz w:val="26"/>
        </w:rPr>
      </w:pP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История гражданской обороны</w:t>
      </w:r>
    </w:p>
    <w:p w:rsidR="00E73AD1" w:rsidRPr="005E31EE" w:rsidRDefault="00E73AD1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Организация по подготовке к защите и по защите населения от опасностей, возникающих при ведении военных действий или вследствие этих действий, берёт своё начало в России со времён</w:t>
      </w:r>
      <w:proofErr w:type="gram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 П</w:t>
      </w:r>
      <w:proofErr w:type="gram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ервой мировой войны (</w:t>
      </w: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1914 – 1918 гг.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), когда в военных действиях нашла применение боевая авиация. В ходе войны воюющие стороны впервые использовали аэропланы и дирижабли для нанесения ударов с воздуха по населённым пунктам, находящимся на значительном удалении от линии фронта. Попытки разрушить экономику и систему государственного управления, а также деморализовать население противника воздушными налётами оказались перспективными. В дальнейшем, для нанесения ударов по тыловым объектам противника, был взят курс на развитие военной авиации.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В ходе</w:t>
      </w:r>
      <w:proofErr w:type="gram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 П</w:t>
      </w:r>
      <w:proofErr w:type="gram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ервой мировой войны, в </w:t>
      </w: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1915 году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, создаётся специализированная бомбардировочная авиация, которая стала применяться для самостоятельных действий – нанесения ударов с воздуха по тылам противника. В связи с этим возникла необходимость в организации защиты городов от ударов с воздуха.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После участившихся вражеских налётов авиации на тыловые объекты в России стали разрабатывать меры по недопущению налётов «воздухоплавательных сре</w:t>
      </w:r>
      <w:proofErr w:type="gram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дств пр</w:t>
      </w:r>
      <w:proofErr w:type="gram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отивника» на нашу территорию, прежде всего к Петрограду.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lastRenderedPageBreak/>
        <w:t>30 ноября </w:t>
      </w: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1914 года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 командующий 6-й армией генерал-адъютант К.П. </w:t>
      </w:r>
      <w:proofErr w:type="spell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Фан-дер-Флит</w:t>
      </w:r>
      <w:proofErr w:type="spell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 приказом № 90 объявил специальную инструкцию, в соответствии с которой впервые была организована оборона Петрограда и его окрестностей. Начальником воздушной обороны был назначен генерал-майор Г.В. </w:t>
      </w:r>
      <w:proofErr w:type="spell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Бурман</w:t>
      </w:r>
      <w:proofErr w:type="spell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.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8 декабря </w:t>
      </w:r>
      <w:r w:rsidRPr="005E31EE">
        <w:rPr>
          <w:rFonts w:ascii="Liberation Serif" w:eastAsia="Times New Roman" w:hAnsi="Liberation Serif" w:cs="Liberation Serif"/>
          <w:b/>
          <w:bCs/>
          <w:color w:val="3B4256"/>
          <w:sz w:val="26"/>
        </w:rPr>
        <w:t>1914 года</w:t>
      </w: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 «Инструкция по воздухоплаванию в районе 6-й армии» была введена в действие, воздушная оборона столицы России начала осуществляться.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color w:val="3B4256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Под руководством генерал-майора Г.В. </w:t>
      </w:r>
      <w:proofErr w:type="spellStart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>Бурмана</w:t>
      </w:r>
      <w:proofErr w:type="spellEnd"/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 объединялись действия «лётчиков и войсковых частей, назначенных для защиты Петрограда и его района от воздушного нападения противника». Для наблюдения за небом и оповещения о летательных аппаратах противника была развёрнута сеть наблюдательных постов. На позициях вокруг Петрограда и вблизи Царского Села были установлены изготовленные по специальному заказу на Путиловском заводе артиллерийские орудия, приспособленные для стрельбы по летательным аппаратам.</w:t>
      </w:r>
    </w:p>
    <w:p w:rsidR="005E31EE" w:rsidRPr="005E31EE" w:rsidRDefault="005E31EE" w:rsidP="00E73AD1">
      <w:pPr>
        <w:spacing w:after="300" w:line="383" w:lineRule="atLeast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</w:rPr>
      </w:pPr>
      <w:r w:rsidRPr="005E31EE">
        <w:rPr>
          <w:rFonts w:ascii="Liberation Serif" w:eastAsia="Times New Roman" w:hAnsi="Liberation Serif" w:cs="Liberation Serif"/>
          <w:color w:val="3B4256"/>
          <w:sz w:val="26"/>
          <w:szCs w:val="26"/>
        </w:rPr>
        <w:t xml:space="preserve">Из состава Гатчинской авиационной школы были отобраны экипажи, подготовленные к </w:t>
      </w:r>
      <w:r w:rsidRPr="005E31EE">
        <w:rPr>
          <w:rFonts w:ascii="Liberation Serif" w:eastAsia="Times New Roman" w:hAnsi="Liberation Serif" w:cs="Liberation Serif"/>
          <w:sz w:val="24"/>
          <w:szCs w:val="24"/>
        </w:rPr>
        <w:t>борьбе с летательными аппаратами противника.</w:t>
      </w:r>
    </w:p>
    <w:p w:rsid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b/>
          <w:bCs/>
          <w:sz w:val="26"/>
        </w:rPr>
      </w:pPr>
      <w:r w:rsidRPr="005E31EE">
        <w:rPr>
          <w:rFonts w:ascii="Liberation Serif" w:eastAsia="Times New Roman" w:hAnsi="Liberation Serif" w:cs="Liberation Serif"/>
          <w:b/>
          <w:bCs/>
          <w:sz w:val="26"/>
        </w:rPr>
        <w:t>Основы государственной политики Российской Федерации  в области гражданской обороны на период до 2030 года»</w:t>
      </w:r>
    </w:p>
    <w:p w:rsidR="00BD63DB" w:rsidRPr="005E31EE" w:rsidRDefault="00BD63DB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sz w:val="26"/>
          <w:szCs w:val="26"/>
        </w:rPr>
        <w:t>В конце 2016 года Президент Российской Федерации  Владимир Путин подписал</w:t>
      </w:r>
      <w:hyperlink r:id="rId4" w:tgtFrame="_blank" w:tooltip="Указ «Об утверждении Основ государственной политики Российской Федерации в области гражданской обороны на период до 2030 года»" w:history="1">
        <w:r w:rsidRPr="005E31EE">
          <w:rPr>
            <w:rFonts w:ascii="Liberation Serif" w:eastAsia="Times New Roman" w:hAnsi="Liberation Serif" w:cs="Liberation Serif"/>
            <w:sz w:val="26"/>
          </w:rPr>
          <w:t> Указ «Об утверждении Основ государственной политики Российской Федерации  в области гражданской обороны на период до 2030 года»</w:t>
        </w:r>
      </w:hyperlink>
      <w:r w:rsidRPr="005E31EE">
        <w:rPr>
          <w:rFonts w:ascii="Liberation Serif" w:eastAsia="Times New Roman" w:hAnsi="Liberation Serif" w:cs="Liberation Serif"/>
          <w:sz w:val="26"/>
          <w:szCs w:val="26"/>
        </w:rPr>
        <w:t xml:space="preserve"> (далее – Основ </w:t>
      </w:r>
      <w:proofErr w:type="spellStart"/>
      <w:r w:rsidRPr="005E31EE">
        <w:rPr>
          <w:rFonts w:ascii="Liberation Serif" w:eastAsia="Times New Roman" w:hAnsi="Liberation Serif" w:cs="Liberation Serif"/>
          <w:sz w:val="26"/>
          <w:szCs w:val="26"/>
        </w:rPr>
        <w:t>госполитики</w:t>
      </w:r>
      <w:proofErr w:type="spellEnd"/>
      <w:r w:rsidRPr="005E31EE">
        <w:rPr>
          <w:rFonts w:ascii="Liberation Serif" w:eastAsia="Times New Roman" w:hAnsi="Liberation Serif" w:cs="Liberation Serif"/>
          <w:sz w:val="26"/>
          <w:szCs w:val="26"/>
        </w:rPr>
        <w:t>).</w:t>
      </w:r>
    </w:p>
    <w:p w:rsidR="005E31EE" w:rsidRPr="005E31EE" w:rsidRDefault="005E31EE" w:rsidP="00E73AD1">
      <w:pPr>
        <w:spacing w:after="0" w:line="383" w:lineRule="atLeast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sz w:val="26"/>
          <w:szCs w:val="26"/>
        </w:rPr>
        <w:t xml:space="preserve">МЧС России, совместно с заинтересованными структурами, проведена </w:t>
      </w:r>
      <w:proofErr w:type="spellStart"/>
      <w:r w:rsidRPr="005E31EE">
        <w:rPr>
          <w:rFonts w:ascii="Liberation Serif" w:eastAsia="Times New Roman" w:hAnsi="Liberation Serif" w:cs="Liberation Serif"/>
          <w:sz w:val="26"/>
          <w:szCs w:val="26"/>
        </w:rPr>
        <w:t>большая</w:t>
      </w:r>
      <w:hyperlink r:id="rId5" w:anchor="91540527" w:tgtFrame="_blank" w:tooltip="РАБОТА" w:history="1">
        <w:r w:rsidRPr="005E31EE">
          <w:rPr>
            <w:rFonts w:ascii="Liberation Serif" w:eastAsia="Times New Roman" w:hAnsi="Liberation Serif" w:cs="Liberation Serif"/>
            <w:sz w:val="26"/>
          </w:rPr>
          <w:t>РАБОТА</w:t>
        </w:r>
        <w:proofErr w:type="spellEnd"/>
      </w:hyperlink>
      <w:r w:rsidRPr="005E31EE">
        <w:rPr>
          <w:rFonts w:ascii="Liberation Serif" w:eastAsia="Times New Roman" w:hAnsi="Liberation Serif" w:cs="Liberation Serif"/>
          <w:sz w:val="26"/>
          <w:szCs w:val="26"/>
        </w:rPr>
        <w:t> по внедрению современных подходов к организации и ведению гражданской обороны, наращиванию ее потенциала. Органы управления и силы гражданской обороны показывают свои возрастающие возможности при ликвидации последствий крупномасштабных чрезвычайных ситуаций и пожаров. Пожарно-спасательные подразделения ежедневно выполняют боевые задачи по тушению крупных пожаров, проведению сложных спасательных работ, разминированию и практической помощи людям в беде, повышают свое профессиональное мастерство и технические возможности.</w:t>
      </w:r>
    </w:p>
    <w:p w:rsidR="005E31EE" w:rsidRPr="005E31EE" w:rsidRDefault="005E31EE" w:rsidP="00E73AD1">
      <w:pPr>
        <w:spacing w:line="383" w:lineRule="atLeast"/>
        <w:jc w:val="both"/>
        <w:textAlignment w:val="baseline"/>
        <w:rPr>
          <w:rFonts w:ascii="Liberation Serif" w:eastAsia="Times New Roman" w:hAnsi="Liberation Serif" w:cs="Liberation Serif"/>
          <w:sz w:val="26"/>
          <w:szCs w:val="26"/>
        </w:rPr>
      </w:pPr>
      <w:r w:rsidRPr="005E31EE">
        <w:rPr>
          <w:rFonts w:ascii="Liberation Serif" w:eastAsia="Times New Roman" w:hAnsi="Liberation Serif" w:cs="Liberation Serif"/>
          <w:sz w:val="26"/>
          <w:szCs w:val="26"/>
        </w:rPr>
        <w:t xml:space="preserve">В Основе </w:t>
      </w:r>
      <w:proofErr w:type="spellStart"/>
      <w:r w:rsidRPr="005E31EE">
        <w:rPr>
          <w:rFonts w:ascii="Liberation Serif" w:eastAsia="Times New Roman" w:hAnsi="Liberation Serif" w:cs="Liberation Serif"/>
          <w:sz w:val="26"/>
          <w:szCs w:val="26"/>
        </w:rPr>
        <w:t>госполитики</w:t>
      </w:r>
      <w:proofErr w:type="spellEnd"/>
      <w:r w:rsidRPr="005E31EE">
        <w:rPr>
          <w:rFonts w:ascii="Liberation Serif" w:eastAsia="Times New Roman" w:hAnsi="Liberation Serif" w:cs="Liberation Serif"/>
          <w:sz w:val="26"/>
          <w:szCs w:val="26"/>
        </w:rPr>
        <w:t xml:space="preserve"> учтены положения Конституции Российской Федерации, федеральных законов, </w:t>
      </w:r>
      <w:hyperlink r:id="rId6" w:tgtFrame="_blank" w:tooltip="Стратегии" w:history="1">
        <w:r w:rsidRPr="005E31EE">
          <w:rPr>
            <w:rFonts w:ascii="Liberation Serif" w:eastAsia="Times New Roman" w:hAnsi="Liberation Serif" w:cs="Liberation Serif"/>
            <w:sz w:val="26"/>
          </w:rPr>
          <w:t>Стратегии</w:t>
        </w:r>
      </w:hyperlink>
      <w:r w:rsidRPr="005E31EE">
        <w:rPr>
          <w:rFonts w:ascii="Liberation Serif" w:eastAsia="Times New Roman" w:hAnsi="Liberation Serif" w:cs="Liberation Serif"/>
          <w:sz w:val="26"/>
          <w:szCs w:val="26"/>
        </w:rPr>
        <w:t> национальной безопасности Российской Федерации, документов, определяющих стратегическое планирование в сфере национальной безопасности, а также действующих нормативных правовых актов.</w:t>
      </w:r>
    </w:p>
    <w:p w:rsidR="009B40B0" w:rsidRPr="005E31EE" w:rsidRDefault="009B40B0" w:rsidP="00E73AD1">
      <w:pPr>
        <w:jc w:val="both"/>
        <w:rPr>
          <w:rFonts w:ascii="Liberation Serif" w:hAnsi="Liberation Serif" w:cs="Liberation Serif"/>
        </w:rPr>
      </w:pPr>
    </w:p>
    <w:sectPr w:rsidR="009B40B0" w:rsidRPr="005E31EE" w:rsidSect="00BD63D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1EE"/>
    <w:rsid w:val="0012546D"/>
    <w:rsid w:val="005E31EE"/>
    <w:rsid w:val="009B40B0"/>
    <w:rsid w:val="00BD63DB"/>
    <w:rsid w:val="00D8305F"/>
    <w:rsid w:val="00E7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1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31EE"/>
    <w:rPr>
      <w:b/>
      <w:bCs/>
    </w:rPr>
  </w:style>
  <w:style w:type="character" w:styleId="a5">
    <w:name w:val="Emphasis"/>
    <w:basedOn w:val="a0"/>
    <w:uiPriority w:val="20"/>
    <w:qFormat/>
    <w:rsid w:val="005E31EE"/>
    <w:rPr>
      <w:i/>
      <w:iCs/>
    </w:rPr>
  </w:style>
  <w:style w:type="character" w:styleId="a6">
    <w:name w:val="Hyperlink"/>
    <w:basedOn w:val="a0"/>
    <w:uiPriority w:val="99"/>
    <w:semiHidden/>
    <w:unhideWhenUsed/>
    <w:rsid w:val="005E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5.mchs.gov.ru/dop/God_grazhdanskoj_oborony/O_grazhdanskoj_oborone" TargetMode="External"/><Relationship Id="rId5" Type="http://schemas.openxmlformats.org/officeDocument/2006/relationships/hyperlink" Target="http://www.mchs.gov.ru/dop/God_grazhdanskoj_oborony/Istoriya_GO" TargetMode="External"/><Relationship Id="rId4" Type="http://schemas.openxmlformats.org/officeDocument/2006/relationships/hyperlink" Target="http://www.mchs.gov.ru/law/Ukazi_Prezidenta_RF/item/331339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2023-11-13T07:48:00Z</dcterms:created>
  <dcterms:modified xsi:type="dcterms:W3CDTF">2023-11-13T07:53:00Z</dcterms:modified>
</cp:coreProperties>
</file>